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D14A" w14:textId="77777777" w:rsidR="005C14E4" w:rsidRPr="00C53798" w:rsidRDefault="003B51E6" w:rsidP="00F40A75">
      <w:pPr>
        <w:rPr>
          <w:rFonts w:ascii="Times New Roman" w:hAnsi="Times New Roman" w:cs="Times New Roman"/>
          <w:sz w:val="36"/>
          <w:szCs w:val="36"/>
        </w:rPr>
      </w:pPr>
      <w:r w:rsidRPr="00C53798">
        <w:rPr>
          <w:rFonts w:ascii="Times New Roman" w:hAnsi="Times New Roman" w:cs="Times New Roman"/>
          <w:sz w:val="36"/>
          <w:szCs w:val="36"/>
        </w:rPr>
        <w:t xml:space="preserve">14 January 2015 </w:t>
      </w:r>
      <w:r w:rsidR="00C53798" w:rsidRPr="00C53798">
        <w:rPr>
          <w:rFonts w:ascii="Times New Roman" w:hAnsi="Times New Roman" w:cs="Times New Roman"/>
          <w:sz w:val="36"/>
          <w:szCs w:val="36"/>
        </w:rPr>
        <w:t xml:space="preserve">UPD </w:t>
      </w:r>
      <w:r w:rsidRPr="00C53798">
        <w:rPr>
          <w:rFonts w:ascii="Times New Roman" w:hAnsi="Times New Roman" w:cs="Times New Roman"/>
          <w:sz w:val="36"/>
          <w:szCs w:val="36"/>
        </w:rPr>
        <w:t xml:space="preserve">Survey of Departments regarding </w:t>
      </w:r>
      <w:r w:rsidR="00C53798" w:rsidRPr="00C53798">
        <w:rPr>
          <w:rFonts w:ascii="Times New Roman" w:hAnsi="Times New Roman" w:cs="Times New Roman"/>
          <w:sz w:val="36"/>
          <w:szCs w:val="36"/>
        </w:rPr>
        <w:t>Proposals for</w:t>
      </w:r>
      <w:r w:rsidR="00B429A7" w:rsidRPr="00C53798">
        <w:rPr>
          <w:rFonts w:ascii="Times New Roman" w:hAnsi="Times New Roman" w:cs="Times New Roman"/>
          <w:sz w:val="36"/>
          <w:szCs w:val="36"/>
        </w:rPr>
        <w:t xml:space="preserve"> </w:t>
      </w:r>
      <w:r w:rsidRPr="00C53798">
        <w:rPr>
          <w:rFonts w:ascii="Times New Roman" w:hAnsi="Times New Roman" w:cs="Times New Roman"/>
          <w:sz w:val="36"/>
          <w:szCs w:val="36"/>
        </w:rPr>
        <w:t>New GE</w:t>
      </w:r>
    </w:p>
    <w:p w14:paraId="2B74C90B" w14:textId="13EAE2F9" w:rsidR="003107C4" w:rsidRPr="006A3040" w:rsidRDefault="003B51E6" w:rsidP="00F40A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338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E74A1A">
        <w:rPr>
          <w:rFonts w:ascii="Times New Roman" w:hAnsi="Times New Roman" w:cs="Times New Roman"/>
          <w:i/>
          <w:sz w:val="24"/>
          <w:szCs w:val="24"/>
        </w:rPr>
        <w:t>A</w:t>
      </w:r>
      <w:r w:rsidRPr="00C21338">
        <w:rPr>
          <w:rFonts w:ascii="Times New Roman" w:hAnsi="Times New Roman" w:cs="Times New Roman"/>
          <w:i/>
          <w:sz w:val="24"/>
          <w:szCs w:val="24"/>
        </w:rPr>
        <w:t xml:space="preserve"> UP System conference on General Education </w:t>
      </w:r>
      <w:r w:rsidR="00E74A1A">
        <w:rPr>
          <w:rFonts w:ascii="Times New Roman" w:hAnsi="Times New Roman" w:cs="Times New Roman"/>
          <w:i/>
          <w:sz w:val="24"/>
          <w:szCs w:val="24"/>
        </w:rPr>
        <w:t xml:space="preserve">is </w:t>
      </w:r>
      <w:r w:rsidRPr="00C21338">
        <w:rPr>
          <w:rFonts w:ascii="Times New Roman" w:hAnsi="Times New Roman" w:cs="Times New Roman"/>
          <w:i/>
          <w:sz w:val="24"/>
          <w:szCs w:val="24"/>
        </w:rPr>
        <w:t>being calle</w:t>
      </w:r>
      <w:r w:rsidR="00157FBF">
        <w:rPr>
          <w:rFonts w:ascii="Times New Roman" w:hAnsi="Times New Roman" w:cs="Times New Roman"/>
          <w:i/>
          <w:sz w:val="24"/>
          <w:szCs w:val="24"/>
        </w:rPr>
        <w:t>d by the OVPAA on 5-6 February</w:t>
      </w:r>
      <w:r w:rsidR="00493158">
        <w:rPr>
          <w:rFonts w:ascii="Times New Roman" w:hAnsi="Times New Roman" w:cs="Times New Roman"/>
          <w:i/>
          <w:sz w:val="24"/>
          <w:szCs w:val="24"/>
        </w:rPr>
        <w:t xml:space="preserve"> 2015. This is </w:t>
      </w:r>
      <w:r w:rsidRPr="00C21338">
        <w:rPr>
          <w:rFonts w:ascii="Times New Roman" w:hAnsi="Times New Roman" w:cs="Times New Roman"/>
          <w:i/>
          <w:sz w:val="24"/>
          <w:szCs w:val="24"/>
        </w:rPr>
        <w:t>to be participated in by the Deans and Directors (Heads of Colleges or Units) pl</w:t>
      </w:r>
      <w:r w:rsidR="00B429A7" w:rsidRPr="00C21338">
        <w:rPr>
          <w:rFonts w:ascii="Times New Roman" w:hAnsi="Times New Roman" w:cs="Times New Roman"/>
          <w:i/>
          <w:sz w:val="24"/>
          <w:szCs w:val="24"/>
        </w:rPr>
        <w:t>us GE Advoc</w:t>
      </w:r>
      <w:r w:rsidR="00157FBF">
        <w:rPr>
          <w:rFonts w:ascii="Times New Roman" w:hAnsi="Times New Roman" w:cs="Times New Roman"/>
          <w:i/>
          <w:sz w:val="24"/>
          <w:szCs w:val="24"/>
        </w:rPr>
        <w:t xml:space="preserve">ates or GE Champions (volunteer </w:t>
      </w:r>
      <w:r w:rsidR="00B429A7" w:rsidRPr="00C21338">
        <w:rPr>
          <w:rFonts w:ascii="Times New Roman" w:hAnsi="Times New Roman" w:cs="Times New Roman"/>
          <w:i/>
          <w:sz w:val="24"/>
          <w:szCs w:val="24"/>
        </w:rPr>
        <w:t xml:space="preserve">faculty members of various Departments), </w:t>
      </w:r>
      <w:r w:rsidRPr="00C21338">
        <w:rPr>
          <w:rFonts w:ascii="Times New Roman" w:hAnsi="Times New Roman" w:cs="Times New Roman"/>
          <w:i/>
          <w:sz w:val="24"/>
          <w:szCs w:val="24"/>
        </w:rPr>
        <w:t>who have been serving as coordinators</w:t>
      </w:r>
      <w:r w:rsidR="00B429A7" w:rsidRPr="00C21338">
        <w:rPr>
          <w:rFonts w:ascii="Times New Roman" w:hAnsi="Times New Roman" w:cs="Times New Roman"/>
          <w:i/>
          <w:sz w:val="24"/>
          <w:szCs w:val="24"/>
        </w:rPr>
        <w:t xml:space="preserve"> of sy</w:t>
      </w:r>
      <w:r w:rsidR="00B3776A" w:rsidRPr="00C21338">
        <w:rPr>
          <w:rFonts w:ascii="Times New Roman" w:hAnsi="Times New Roman" w:cs="Times New Roman"/>
          <w:i/>
          <w:sz w:val="24"/>
          <w:szCs w:val="24"/>
        </w:rPr>
        <w:t xml:space="preserve">llabus development for 11 </w:t>
      </w:r>
      <w:r w:rsidR="00B429A7" w:rsidRPr="00C21338">
        <w:rPr>
          <w:rFonts w:ascii="Times New Roman" w:hAnsi="Times New Roman" w:cs="Times New Roman"/>
          <w:i/>
          <w:sz w:val="24"/>
          <w:szCs w:val="24"/>
        </w:rPr>
        <w:t>new prototype GE courses</w:t>
      </w:r>
      <w:r w:rsidR="00B3776A" w:rsidRPr="00C21338">
        <w:rPr>
          <w:rFonts w:ascii="Times New Roman" w:hAnsi="Times New Roman" w:cs="Times New Roman"/>
          <w:i/>
          <w:sz w:val="24"/>
          <w:szCs w:val="24"/>
        </w:rPr>
        <w:t xml:space="preserve"> (and a revised Rizal course) originating from the series of GE Mini-Conferences of </w:t>
      </w:r>
      <w:r w:rsidR="00B3776A" w:rsidRPr="006A3040">
        <w:rPr>
          <w:rFonts w:ascii="Times New Roman" w:hAnsi="Times New Roman" w:cs="Times New Roman"/>
          <w:i/>
          <w:sz w:val="24"/>
          <w:szCs w:val="24"/>
        </w:rPr>
        <w:t>the UP System in 2014</w:t>
      </w:r>
      <w:r w:rsidR="001E378C">
        <w:rPr>
          <w:rFonts w:ascii="Times New Roman" w:hAnsi="Times New Roman" w:cs="Times New Roman"/>
          <w:i/>
          <w:sz w:val="24"/>
          <w:szCs w:val="24"/>
        </w:rPr>
        <w:t>.</w:t>
      </w:r>
      <w:r w:rsidR="00703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78C">
        <w:rPr>
          <w:rFonts w:ascii="Times New Roman" w:hAnsi="Times New Roman" w:cs="Times New Roman"/>
          <w:i/>
          <w:sz w:val="24"/>
          <w:szCs w:val="24"/>
        </w:rPr>
        <w:t>In preparation for this,</w:t>
      </w:r>
      <w:r w:rsidR="00157FBF" w:rsidRPr="006A30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9A7" w:rsidRPr="006A3040">
        <w:rPr>
          <w:rFonts w:ascii="Times New Roman" w:hAnsi="Times New Roman" w:cs="Times New Roman"/>
          <w:i/>
          <w:sz w:val="24"/>
          <w:szCs w:val="24"/>
        </w:rPr>
        <w:t xml:space="preserve">EACH ACADEMIC DEPARTMENT OR INSTITUTE is now requested to answer this </w:t>
      </w:r>
      <w:r w:rsidR="00B3776A" w:rsidRPr="006A3040">
        <w:rPr>
          <w:rFonts w:ascii="Times New Roman" w:hAnsi="Times New Roman" w:cs="Times New Roman"/>
          <w:i/>
          <w:sz w:val="24"/>
          <w:szCs w:val="24"/>
        </w:rPr>
        <w:t xml:space="preserve">UPD </w:t>
      </w:r>
      <w:r w:rsidR="00B429A7" w:rsidRPr="006A3040">
        <w:rPr>
          <w:rFonts w:ascii="Times New Roman" w:hAnsi="Times New Roman" w:cs="Times New Roman"/>
          <w:i/>
          <w:sz w:val="24"/>
          <w:szCs w:val="24"/>
        </w:rPr>
        <w:t>survey.  The items in this survey are based on the latest joint meeting of the UPD GE Committee and the UPD GE Advocates.</w:t>
      </w:r>
    </w:p>
    <w:p w14:paraId="468F8A5F" w14:textId="77777777" w:rsidR="006A3040" w:rsidRPr="004E6527" w:rsidRDefault="006A3040" w:rsidP="00F40A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9DBCB7" w14:textId="4B7F9E34" w:rsidR="006A3040" w:rsidRPr="004E6527" w:rsidRDefault="006A3040" w:rsidP="00F40A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527">
        <w:rPr>
          <w:rFonts w:ascii="Times New Roman" w:hAnsi="Times New Roman" w:cs="Times New Roman"/>
          <w:i/>
          <w:sz w:val="24"/>
          <w:szCs w:val="24"/>
        </w:rPr>
        <w:t>More details about the</w:t>
      </w:r>
      <w:r w:rsidR="003F3C30">
        <w:rPr>
          <w:rFonts w:ascii="Times New Roman" w:hAnsi="Times New Roman" w:cs="Times New Roman"/>
          <w:i/>
          <w:sz w:val="24"/>
          <w:szCs w:val="24"/>
        </w:rPr>
        <w:t xml:space="preserve"> 2014</w:t>
      </w:r>
      <w:r w:rsidRPr="004E6527">
        <w:rPr>
          <w:rFonts w:ascii="Times New Roman" w:hAnsi="Times New Roman" w:cs="Times New Roman"/>
          <w:i/>
          <w:sz w:val="24"/>
          <w:szCs w:val="24"/>
        </w:rPr>
        <w:t xml:space="preserve"> UP Diliman GE Conference may be accessed online through the following links:</w:t>
      </w:r>
    </w:p>
    <w:p w14:paraId="3968F493" w14:textId="29A88C96" w:rsidR="006A3040" w:rsidRPr="004E6527" w:rsidRDefault="006A3040" w:rsidP="00F40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527">
        <w:rPr>
          <w:rFonts w:ascii="Times New Roman" w:hAnsi="Times New Roman" w:cs="Times New Roman"/>
          <w:i/>
          <w:sz w:val="24"/>
          <w:szCs w:val="24"/>
        </w:rPr>
        <w:t>1.   Conference Proceedings:</w:t>
      </w:r>
      <w:r w:rsidR="00872D77" w:rsidRPr="004E6527">
        <w:rPr>
          <w:rFonts w:ascii="Times New Roman" w:hAnsi="Times New Roman" w:cs="Times New Roman"/>
          <w:i/>
          <w:sz w:val="24"/>
          <w:szCs w:val="24"/>
        </w:rPr>
        <w:t xml:space="preserve">   </w:t>
      </w:r>
      <w:hyperlink r:id="rId7" w:history="1">
        <w:r w:rsidRPr="004E6527">
          <w:rPr>
            <w:rFonts w:ascii="Times New Roman" w:hAnsi="Times New Roman" w:cs="Times New Roman"/>
            <w:i/>
            <w:sz w:val="24"/>
            <w:szCs w:val="24"/>
          </w:rPr>
          <w:t>http://issuu.com/odi-ovcaa/docs/ge_conference_proceedings</w:t>
        </w:r>
      </w:hyperlink>
    </w:p>
    <w:p w14:paraId="3EB95872" w14:textId="5F6256BF" w:rsidR="006A3040" w:rsidRPr="004E6527" w:rsidRDefault="006A3040" w:rsidP="00F40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527">
        <w:rPr>
          <w:rFonts w:ascii="Times New Roman" w:hAnsi="Times New Roman" w:cs="Times New Roman"/>
          <w:i/>
          <w:sz w:val="24"/>
          <w:szCs w:val="24"/>
        </w:rPr>
        <w:t>2.   Conference Proceedings Annexes:</w:t>
      </w:r>
      <w:r w:rsidR="00872D77" w:rsidRPr="004E6527">
        <w:rPr>
          <w:rFonts w:ascii="Times New Roman" w:hAnsi="Times New Roman" w:cs="Times New Roman"/>
          <w:i/>
          <w:sz w:val="24"/>
          <w:szCs w:val="24"/>
        </w:rPr>
        <w:t xml:space="preserve">   </w:t>
      </w:r>
      <w:hyperlink r:id="rId8" w:history="1">
        <w:r w:rsidRPr="004E6527">
          <w:rPr>
            <w:rFonts w:ascii="Times New Roman" w:hAnsi="Times New Roman" w:cs="Times New Roman"/>
            <w:i/>
            <w:sz w:val="24"/>
            <w:szCs w:val="24"/>
          </w:rPr>
          <w:t>http://issuu.com/odi-ovcaa/docs/upd_ge_conference_annexes</w:t>
        </w:r>
      </w:hyperlink>
    </w:p>
    <w:p w14:paraId="25DA042C" w14:textId="491C3E52" w:rsidR="006A3040" w:rsidRPr="004E6527" w:rsidRDefault="006A3040" w:rsidP="00F40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527">
        <w:rPr>
          <w:rFonts w:ascii="Times New Roman" w:hAnsi="Times New Roman" w:cs="Times New Roman"/>
          <w:i/>
          <w:sz w:val="24"/>
          <w:szCs w:val="24"/>
        </w:rPr>
        <w:t>3.   Conference Photo Documentation:</w:t>
      </w:r>
      <w:r w:rsidR="00872D77" w:rsidRPr="004E6527">
        <w:rPr>
          <w:rFonts w:ascii="Times New Roman" w:hAnsi="Times New Roman" w:cs="Times New Roman"/>
          <w:i/>
          <w:sz w:val="24"/>
          <w:szCs w:val="24"/>
        </w:rPr>
        <w:t xml:space="preserve">   </w:t>
      </w:r>
      <w:hyperlink r:id="rId9" w:history="1">
        <w:r w:rsidRPr="004E6527">
          <w:rPr>
            <w:rFonts w:ascii="Times New Roman" w:hAnsi="Times New Roman" w:cs="Times New Roman"/>
            <w:i/>
            <w:sz w:val="24"/>
            <w:szCs w:val="24"/>
          </w:rPr>
          <w:t>http://share.snacktools.com/FEAF5E7D75E/b7xu3zd4</w:t>
        </w:r>
      </w:hyperlink>
    </w:p>
    <w:p w14:paraId="4B2787BF" w14:textId="77777777" w:rsidR="006A3040" w:rsidRPr="004E6527" w:rsidRDefault="006A3040" w:rsidP="00F40A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650E4E" w14:textId="77777777" w:rsidR="00B429A7" w:rsidRDefault="00B429A7" w:rsidP="00F40A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527">
        <w:rPr>
          <w:rFonts w:ascii="Times New Roman" w:hAnsi="Times New Roman" w:cs="Times New Roman"/>
          <w:i/>
          <w:sz w:val="24"/>
          <w:szCs w:val="24"/>
        </w:rPr>
        <w:t xml:space="preserve">While the items </w:t>
      </w:r>
      <w:r w:rsidR="003107C4" w:rsidRPr="004E6527">
        <w:rPr>
          <w:rFonts w:ascii="Times New Roman" w:hAnsi="Times New Roman" w:cs="Times New Roman"/>
          <w:i/>
          <w:sz w:val="24"/>
          <w:szCs w:val="24"/>
        </w:rPr>
        <w:t xml:space="preserve">below </w:t>
      </w:r>
      <w:r w:rsidRPr="004E6527">
        <w:rPr>
          <w:rFonts w:ascii="Times New Roman" w:hAnsi="Times New Roman" w:cs="Times New Roman"/>
          <w:i/>
          <w:sz w:val="24"/>
          <w:szCs w:val="24"/>
        </w:rPr>
        <w:t>may be interrelated</w:t>
      </w:r>
      <w:r w:rsidR="00B40B93" w:rsidRPr="004E6527">
        <w:rPr>
          <w:rFonts w:ascii="Times New Roman" w:hAnsi="Times New Roman" w:cs="Times New Roman"/>
          <w:i/>
          <w:sz w:val="24"/>
          <w:szCs w:val="24"/>
        </w:rPr>
        <w:t xml:space="preserve"> (and it may be advisable to browse through</w:t>
      </w:r>
      <w:r w:rsidR="00B40B93">
        <w:rPr>
          <w:rFonts w:ascii="Times New Roman" w:hAnsi="Times New Roman" w:cs="Times New Roman"/>
          <w:i/>
          <w:sz w:val="24"/>
          <w:szCs w:val="24"/>
        </w:rPr>
        <w:t xml:space="preserve"> all items before consi</w:t>
      </w:r>
      <w:r w:rsidR="00157FBF">
        <w:rPr>
          <w:rFonts w:ascii="Times New Roman" w:hAnsi="Times New Roman" w:cs="Times New Roman"/>
          <w:i/>
          <w:sz w:val="24"/>
          <w:szCs w:val="24"/>
        </w:rPr>
        <w:t>dering to agree or disagree on</w:t>
      </w:r>
      <w:r w:rsidR="00B40B93">
        <w:rPr>
          <w:rFonts w:ascii="Times New Roman" w:hAnsi="Times New Roman" w:cs="Times New Roman"/>
          <w:i/>
          <w:sz w:val="24"/>
          <w:szCs w:val="24"/>
        </w:rPr>
        <w:t xml:space="preserve"> each one)</w:t>
      </w:r>
      <w:r w:rsidRPr="00C21338">
        <w:rPr>
          <w:rFonts w:ascii="Times New Roman" w:hAnsi="Times New Roman" w:cs="Times New Roman"/>
          <w:i/>
          <w:sz w:val="24"/>
          <w:szCs w:val="24"/>
        </w:rPr>
        <w:t>, kindly try to indicate agreeme</w:t>
      </w:r>
      <w:r w:rsidR="00B3776A" w:rsidRPr="00C21338">
        <w:rPr>
          <w:rFonts w:ascii="Times New Roman" w:hAnsi="Times New Roman" w:cs="Times New Roman"/>
          <w:i/>
          <w:sz w:val="24"/>
          <w:szCs w:val="24"/>
        </w:rPr>
        <w:t>nt or disagreement on EACH ITEM</w:t>
      </w:r>
      <w:r w:rsidR="00686501">
        <w:rPr>
          <w:rFonts w:ascii="Times New Roman" w:hAnsi="Times New Roman" w:cs="Times New Roman"/>
          <w:i/>
          <w:sz w:val="24"/>
          <w:szCs w:val="24"/>
        </w:rPr>
        <w:t xml:space="preserve"> with an “O” mark in the corresponding column</w:t>
      </w:r>
      <w:r w:rsidR="00B3776A" w:rsidRPr="00C21338">
        <w:rPr>
          <w:rFonts w:ascii="Times New Roman" w:hAnsi="Times New Roman" w:cs="Times New Roman"/>
          <w:i/>
          <w:sz w:val="24"/>
          <w:szCs w:val="24"/>
        </w:rPr>
        <w:t>, whereby: SA=StronglyAgree; A=Agree; D=Disagree; and SD=StronglyDisagree.  The last</w:t>
      </w:r>
      <w:r w:rsidR="00B40B93">
        <w:rPr>
          <w:rFonts w:ascii="Times New Roman" w:hAnsi="Times New Roman" w:cs="Times New Roman"/>
          <w:i/>
          <w:sz w:val="24"/>
          <w:szCs w:val="24"/>
        </w:rPr>
        <w:t xml:space="preserve"> column is for optional comment</w:t>
      </w:r>
      <w:r w:rsidR="00B3776A" w:rsidRPr="00C21338">
        <w:rPr>
          <w:rFonts w:ascii="Times New Roman" w:hAnsi="Times New Roman" w:cs="Times New Roman"/>
          <w:i/>
          <w:sz w:val="24"/>
          <w:szCs w:val="24"/>
        </w:rPr>
        <w:t xml:space="preserve">.  It is understood that the proposals, as well as the replies to this UPD survey, will again be synthesized during the 5-6 February </w:t>
      </w:r>
      <w:r w:rsidR="009C470D">
        <w:rPr>
          <w:rFonts w:ascii="Times New Roman" w:hAnsi="Times New Roman" w:cs="Times New Roman"/>
          <w:i/>
          <w:sz w:val="24"/>
          <w:szCs w:val="24"/>
        </w:rPr>
        <w:t xml:space="preserve">System </w:t>
      </w:r>
      <w:r w:rsidR="00B3776A" w:rsidRPr="00C21338">
        <w:rPr>
          <w:rFonts w:ascii="Times New Roman" w:hAnsi="Times New Roman" w:cs="Times New Roman"/>
          <w:i/>
          <w:sz w:val="24"/>
          <w:szCs w:val="24"/>
        </w:rPr>
        <w:t>conference, and the synthesis will be brought back to the CU’s for deliberation and approval through the appropriate committee(s) and the University Council.</w:t>
      </w:r>
    </w:p>
    <w:p w14:paraId="5B8FBD68" w14:textId="77777777" w:rsidR="00872D77" w:rsidRPr="00C8708E" w:rsidRDefault="00872D77" w:rsidP="00F40A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E2A040" w14:textId="62963995" w:rsidR="003B51E6" w:rsidRPr="00C8708E" w:rsidRDefault="00B3776A" w:rsidP="00F40A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08E">
        <w:rPr>
          <w:rFonts w:ascii="Times New Roman" w:hAnsi="Times New Roman" w:cs="Times New Roman"/>
          <w:i/>
          <w:sz w:val="24"/>
          <w:szCs w:val="24"/>
        </w:rPr>
        <w:t>Please s</w:t>
      </w:r>
      <w:r w:rsidR="00B429A7" w:rsidRPr="00C8708E">
        <w:rPr>
          <w:rFonts w:ascii="Times New Roman" w:hAnsi="Times New Roman" w:cs="Times New Roman"/>
          <w:i/>
          <w:sz w:val="24"/>
          <w:szCs w:val="24"/>
        </w:rPr>
        <w:t xml:space="preserve">end </w:t>
      </w:r>
      <w:r w:rsidRPr="00C8708E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="00B429A7" w:rsidRPr="00C8708E">
        <w:rPr>
          <w:rFonts w:ascii="Times New Roman" w:hAnsi="Times New Roman" w:cs="Times New Roman"/>
          <w:i/>
          <w:sz w:val="24"/>
          <w:szCs w:val="24"/>
        </w:rPr>
        <w:t xml:space="preserve">survey reply (this Word document file as ATTACHMENT) by email to: </w:t>
      </w:r>
      <w:hyperlink r:id="rId10" w:history="1">
        <w:r w:rsidR="00190ED8" w:rsidRPr="00C8708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jessica@ovcaa.upd.edu.ph</w:t>
        </w:r>
      </w:hyperlink>
      <w:r w:rsidR="00190ED8" w:rsidRPr="00C87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08E" w:rsidRPr="00C8708E">
        <w:rPr>
          <w:rFonts w:ascii="Times New Roman" w:hAnsi="Times New Roman" w:cs="Times New Roman"/>
          <w:i/>
          <w:sz w:val="24"/>
          <w:szCs w:val="24"/>
        </w:rPr>
        <w:t>(cc</w:t>
      </w:r>
      <w:r w:rsidR="00BF3867">
        <w:rPr>
          <w:rFonts w:ascii="Times New Roman" w:hAnsi="Times New Roman" w:cs="Times New Roman"/>
          <w:i/>
          <w:sz w:val="24"/>
          <w:szCs w:val="24"/>
        </w:rPr>
        <w:t>: Dean or Director of College or</w:t>
      </w:r>
      <w:bookmarkStart w:id="0" w:name="_GoBack"/>
      <w:bookmarkEnd w:id="0"/>
      <w:r w:rsidR="00C8708E" w:rsidRPr="00C8708E">
        <w:rPr>
          <w:rFonts w:ascii="Times New Roman" w:hAnsi="Times New Roman" w:cs="Times New Roman"/>
          <w:i/>
          <w:sz w:val="24"/>
          <w:szCs w:val="24"/>
        </w:rPr>
        <w:t xml:space="preserve"> Unit)</w:t>
      </w:r>
      <w:r w:rsidR="00C870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9A7" w:rsidRPr="00C8708E">
        <w:rPr>
          <w:rFonts w:ascii="Times New Roman" w:hAnsi="Times New Roman" w:cs="Times New Roman"/>
          <w:i/>
          <w:sz w:val="24"/>
          <w:szCs w:val="24"/>
        </w:rPr>
        <w:t xml:space="preserve">on or before </w:t>
      </w:r>
      <w:r w:rsidR="00B429A7" w:rsidRPr="00C8708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E1269">
        <w:rPr>
          <w:rFonts w:ascii="Times New Roman" w:hAnsi="Times New Roman" w:cs="Times New Roman"/>
          <w:b/>
          <w:i/>
          <w:sz w:val="24"/>
          <w:szCs w:val="24"/>
        </w:rPr>
        <w:t>:00 PM</w:t>
      </w:r>
      <w:r w:rsidR="00B429A7" w:rsidRPr="00C8708E">
        <w:rPr>
          <w:rFonts w:ascii="Times New Roman" w:hAnsi="Times New Roman" w:cs="Times New Roman"/>
          <w:b/>
          <w:i/>
          <w:sz w:val="24"/>
          <w:szCs w:val="24"/>
        </w:rPr>
        <w:t xml:space="preserve"> on Friday, 30 January 2015</w:t>
      </w:r>
      <w:r w:rsidR="00B429A7" w:rsidRPr="00C8708E">
        <w:rPr>
          <w:rFonts w:ascii="Times New Roman" w:hAnsi="Times New Roman" w:cs="Times New Roman"/>
          <w:i/>
          <w:sz w:val="24"/>
          <w:szCs w:val="24"/>
        </w:rPr>
        <w:t xml:space="preserve"> in order to allow time for collating the survey replies from throughout UPD.</w:t>
      </w:r>
      <w:r w:rsidRPr="00C8708E">
        <w:rPr>
          <w:rFonts w:ascii="Times New Roman" w:hAnsi="Times New Roman" w:cs="Times New Roman"/>
          <w:i/>
          <w:sz w:val="24"/>
          <w:szCs w:val="24"/>
        </w:rPr>
        <w:t xml:space="preserve">  Thank you very much.</w:t>
      </w:r>
    </w:p>
    <w:p w14:paraId="662A8FE3" w14:textId="77777777" w:rsidR="00C21338" w:rsidRPr="00C8708E" w:rsidRDefault="00C21338">
      <w:pPr>
        <w:rPr>
          <w:rFonts w:ascii="Times New Roman" w:hAnsi="Times New Roman" w:cs="Times New Roman"/>
          <w:i/>
          <w:sz w:val="24"/>
          <w:szCs w:val="24"/>
        </w:rPr>
      </w:pPr>
      <w:r w:rsidRPr="00C8708E">
        <w:rPr>
          <w:rFonts w:ascii="Times New Roman" w:hAnsi="Times New Roman" w:cs="Times New Roman"/>
          <w:i/>
          <w:sz w:val="24"/>
          <w:szCs w:val="24"/>
        </w:rPr>
        <w:t>Department or Institute Name:</w:t>
      </w:r>
    </w:p>
    <w:p w14:paraId="09DEF31A" w14:textId="77777777" w:rsidR="00C21338" w:rsidRPr="00C8708E" w:rsidRDefault="00C21338">
      <w:pPr>
        <w:rPr>
          <w:rFonts w:ascii="Times New Roman" w:hAnsi="Times New Roman" w:cs="Times New Roman"/>
          <w:sz w:val="24"/>
          <w:szCs w:val="24"/>
        </w:rPr>
      </w:pPr>
      <w:r w:rsidRPr="00C8708E">
        <w:rPr>
          <w:rFonts w:ascii="Times New Roman" w:hAnsi="Times New Roman" w:cs="Times New Roman"/>
          <w:i/>
          <w:sz w:val="24"/>
          <w:szCs w:val="24"/>
        </w:rPr>
        <w:t>College or</w:t>
      </w:r>
      <w:r w:rsidRPr="00C8708E">
        <w:rPr>
          <w:rFonts w:ascii="Times New Roman" w:hAnsi="Times New Roman" w:cs="Times New Roman"/>
          <w:sz w:val="24"/>
          <w:szCs w:val="24"/>
        </w:rPr>
        <w:t xml:space="preserve"> Unit Name:</w:t>
      </w:r>
    </w:p>
    <w:p w14:paraId="4920D4AE" w14:textId="77777777" w:rsidR="00C21338" w:rsidRDefault="00C21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Academic Leader answering this survey: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508"/>
        <w:gridCol w:w="8050"/>
        <w:gridCol w:w="720"/>
        <w:gridCol w:w="720"/>
        <w:gridCol w:w="720"/>
        <w:gridCol w:w="720"/>
        <w:gridCol w:w="2696"/>
      </w:tblGrid>
      <w:tr w:rsidR="0012542B" w14:paraId="4F44122C" w14:textId="77777777" w:rsidTr="00F40A75">
        <w:tc>
          <w:tcPr>
            <w:tcW w:w="1508" w:type="dxa"/>
          </w:tcPr>
          <w:p w14:paraId="0B8C05CF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No.</w:t>
            </w:r>
          </w:p>
        </w:tc>
        <w:tc>
          <w:tcPr>
            <w:tcW w:w="8050" w:type="dxa"/>
          </w:tcPr>
          <w:p w14:paraId="15C78D93" w14:textId="77777777" w:rsidR="000113BC" w:rsidRDefault="00B4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720" w:type="dxa"/>
          </w:tcPr>
          <w:p w14:paraId="238EFCCC" w14:textId="77777777" w:rsidR="000113BC" w:rsidRDefault="000113BC" w:rsidP="00B40B93">
            <w:pPr>
              <w:tabs>
                <w:tab w:val="left" w:pos="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720" w:type="dxa"/>
          </w:tcPr>
          <w:p w14:paraId="3F84E105" w14:textId="77777777" w:rsidR="000113BC" w:rsidRDefault="000113BC" w:rsidP="00B40B93">
            <w:pPr>
              <w:tabs>
                <w:tab w:val="left" w:pos="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67B95E85" w14:textId="77777777" w:rsidR="000113BC" w:rsidRDefault="000113BC" w:rsidP="00B40B93">
            <w:pPr>
              <w:tabs>
                <w:tab w:val="left" w:pos="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</w:tcPr>
          <w:p w14:paraId="4D6C0F20" w14:textId="77777777" w:rsidR="000113BC" w:rsidRDefault="000113BC" w:rsidP="00B40B93">
            <w:pPr>
              <w:tabs>
                <w:tab w:val="left" w:pos="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2696" w:type="dxa"/>
          </w:tcPr>
          <w:p w14:paraId="458D0D4D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</w:tr>
      <w:tr w:rsidR="0012542B" w14:paraId="6719BA67" w14:textId="77777777" w:rsidTr="00F40A75">
        <w:tc>
          <w:tcPr>
            <w:tcW w:w="1508" w:type="dxa"/>
          </w:tcPr>
          <w:p w14:paraId="0179FB9A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0" w:type="dxa"/>
          </w:tcPr>
          <w:p w14:paraId="3FB5FFB6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Tatak UP: </w:t>
            </w:r>
            <w:r w:rsidR="0012542B">
              <w:rPr>
                <w:rFonts w:ascii="Times New Roman" w:hAnsi="Times New Roman" w:cs="Times New Roman"/>
                <w:sz w:val="24"/>
                <w:szCs w:val="24"/>
              </w:rPr>
              <w:t xml:space="preserve">“[…Estudyanteng/Gurong/Kawaning/Administrador na] </w:t>
            </w:r>
            <w:r w:rsidR="0012542B" w:rsidRPr="0012542B">
              <w:rPr>
                <w:rFonts w:ascii="Times New Roman" w:hAnsi="Times New Roman" w:cs="Times New Roman"/>
                <w:sz w:val="24"/>
                <w:szCs w:val="24"/>
              </w:rPr>
              <w:t xml:space="preserve">may malalim na pagkilala sa sarili, malay sa </w:t>
            </w:r>
            <w:r w:rsidR="001254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2542B" w:rsidRPr="0012542B">
              <w:rPr>
                <w:rFonts w:ascii="Times New Roman" w:hAnsi="Times New Roman" w:cs="Times New Roman"/>
                <w:sz w:val="24"/>
                <w:szCs w:val="24"/>
              </w:rPr>
              <w:t>kanyang</w:t>
            </w:r>
            <w:r w:rsidR="0012542B">
              <w:rPr>
                <w:rFonts w:ascii="Times New Roman" w:hAnsi="Times New Roman" w:cs="Times New Roman"/>
                <w:sz w:val="24"/>
                <w:szCs w:val="24"/>
              </w:rPr>
              <w:t>/aking]</w:t>
            </w:r>
            <w:r w:rsidR="0012542B" w:rsidRPr="0012542B">
              <w:rPr>
                <w:rFonts w:ascii="Times New Roman" w:hAnsi="Times New Roman" w:cs="Times New Roman"/>
                <w:sz w:val="24"/>
                <w:szCs w:val="24"/>
              </w:rPr>
              <w:t xml:space="preserve"> kasaysayan, nakalubog sa </w:t>
            </w:r>
            <w:r w:rsidR="001254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12542B" w:rsidRPr="0012542B">
              <w:rPr>
                <w:rFonts w:ascii="Times New Roman" w:hAnsi="Times New Roman" w:cs="Times New Roman"/>
                <w:sz w:val="24"/>
                <w:szCs w:val="24"/>
              </w:rPr>
              <w:t>kanyang</w:t>
            </w:r>
            <w:r w:rsidR="0012542B">
              <w:rPr>
                <w:rFonts w:ascii="Times New Roman" w:hAnsi="Times New Roman" w:cs="Times New Roman"/>
                <w:sz w:val="24"/>
                <w:szCs w:val="24"/>
              </w:rPr>
              <w:t>/aking]</w:t>
            </w:r>
            <w:r w:rsidR="0012542B" w:rsidRPr="0012542B">
              <w:rPr>
                <w:rFonts w:ascii="Times New Roman" w:hAnsi="Times New Roman" w:cs="Times New Roman"/>
                <w:sz w:val="24"/>
                <w:szCs w:val="24"/>
              </w:rPr>
              <w:t xml:space="preserve"> kultura, may panlipunang pananagutan at </w:t>
            </w:r>
            <w:r w:rsidR="0012542B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12542B" w:rsidRPr="0012542B">
              <w:rPr>
                <w:rFonts w:ascii="Times New Roman" w:hAnsi="Times New Roman" w:cs="Times New Roman"/>
                <w:sz w:val="24"/>
                <w:szCs w:val="24"/>
              </w:rPr>
              <w:t>makabayang paninindigan</w:t>
            </w:r>
            <w:r w:rsidR="002765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20" w:type="dxa"/>
          </w:tcPr>
          <w:p w14:paraId="441FCEDF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501994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F21112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858BE6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D54BE69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2B" w14:paraId="6DC471C9" w14:textId="77777777" w:rsidTr="00F40A75">
        <w:tc>
          <w:tcPr>
            <w:tcW w:w="1508" w:type="dxa"/>
          </w:tcPr>
          <w:p w14:paraId="6110EFC9" w14:textId="77777777" w:rsidR="000113BC" w:rsidRDefault="0012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0" w:type="dxa"/>
          </w:tcPr>
          <w:p w14:paraId="61CBE136" w14:textId="77777777" w:rsidR="000113BC" w:rsidRDefault="0012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Objectives or Goals</w:t>
            </w:r>
            <w:r w:rsidR="00276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33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76521">
              <w:rPr>
                <w:rFonts w:ascii="Times New Roman" w:hAnsi="Times New Roman" w:cs="Times New Roman"/>
                <w:sz w:val="24"/>
                <w:szCs w:val="24"/>
              </w:rPr>
              <w:t>for students</w:t>
            </w:r>
            <w:r w:rsidR="00C2133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8BC3BC" w14:textId="77777777" w:rsidR="00121AD0" w:rsidRPr="00276521" w:rsidRDefault="00121AD0" w:rsidP="00276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521">
              <w:rPr>
                <w:rFonts w:ascii="Times New Roman" w:hAnsi="Times New Roman" w:cs="Times New Roman"/>
                <w:sz w:val="24"/>
                <w:szCs w:val="24"/>
              </w:rPr>
              <w:t>To broaden and deepen the student’s intellectual and cultural horizons;</w:t>
            </w:r>
          </w:p>
          <w:p w14:paraId="3DE0EB73" w14:textId="77777777" w:rsidR="00121AD0" w:rsidRPr="00276521" w:rsidRDefault="00121AD0" w:rsidP="00276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521">
              <w:rPr>
                <w:rFonts w:ascii="Times New Roman" w:hAnsi="Times New Roman" w:cs="Times New Roman"/>
                <w:sz w:val="24"/>
                <w:szCs w:val="24"/>
              </w:rPr>
              <w:t>To strengthen independent and critical thinking;</w:t>
            </w:r>
          </w:p>
          <w:p w14:paraId="78B560AF" w14:textId="77777777" w:rsidR="00121AD0" w:rsidRPr="00276521" w:rsidRDefault="00121AD0" w:rsidP="00276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</w:t>
            </w:r>
            <w:r w:rsidR="00276521" w:rsidRPr="00276521">
              <w:rPr>
                <w:rFonts w:ascii="Times New Roman" w:hAnsi="Times New Roman" w:cs="Times New Roman"/>
                <w:sz w:val="24"/>
                <w:szCs w:val="24"/>
              </w:rPr>
              <w:t>enhance the capacity for the integration of knowledge and skills;</w:t>
            </w:r>
          </w:p>
          <w:p w14:paraId="614B0578" w14:textId="77777777" w:rsidR="00276521" w:rsidRPr="00276521" w:rsidRDefault="00276521" w:rsidP="00276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521">
              <w:rPr>
                <w:rFonts w:ascii="Times New Roman" w:hAnsi="Times New Roman" w:cs="Times New Roman"/>
                <w:sz w:val="24"/>
                <w:szCs w:val="24"/>
              </w:rPr>
              <w:t>To propel invention and innovation through creativity;</w:t>
            </w:r>
          </w:p>
          <w:p w14:paraId="161DBC04" w14:textId="77777777" w:rsidR="00276521" w:rsidRPr="00276521" w:rsidRDefault="00276521" w:rsidP="00276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521">
              <w:rPr>
                <w:rFonts w:ascii="Times New Roman" w:hAnsi="Times New Roman" w:cs="Times New Roman"/>
                <w:sz w:val="24"/>
                <w:szCs w:val="24"/>
              </w:rPr>
              <w:t>To foster commitment to nationalism balanced with internationalism;</w:t>
            </w:r>
          </w:p>
          <w:p w14:paraId="0DC29CC1" w14:textId="77777777" w:rsidR="00276521" w:rsidRDefault="00276521" w:rsidP="0027652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521">
              <w:rPr>
                <w:rFonts w:ascii="Times New Roman" w:hAnsi="Times New Roman" w:cs="Times New Roman"/>
                <w:sz w:val="24"/>
                <w:szCs w:val="24"/>
              </w:rPr>
              <w:t>To infuse lifelong passion for learning with a high sense of moral and intellectual integrity.</w:t>
            </w:r>
          </w:p>
          <w:p w14:paraId="7E044D89" w14:textId="77777777" w:rsidR="00276521" w:rsidRPr="00276521" w:rsidRDefault="00B40B93" w:rsidP="00276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The last Objective or Goal must </w:t>
            </w:r>
            <w:r w:rsidR="00276521">
              <w:rPr>
                <w:rFonts w:ascii="Times New Roman" w:hAnsi="Times New Roman" w:cs="Times New Roman"/>
                <w:sz w:val="24"/>
                <w:szCs w:val="24"/>
              </w:rPr>
              <w:t xml:space="preserve">always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276521">
              <w:rPr>
                <w:rFonts w:ascii="Times New Roman" w:hAnsi="Times New Roman" w:cs="Times New Roman"/>
                <w:sz w:val="24"/>
                <w:szCs w:val="24"/>
              </w:rPr>
              <w:t>maintained, and so with most, if not all, of the preceding Objectives or Goals.</w:t>
            </w:r>
          </w:p>
        </w:tc>
        <w:tc>
          <w:tcPr>
            <w:tcW w:w="720" w:type="dxa"/>
          </w:tcPr>
          <w:p w14:paraId="061F6E2B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D22296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85D2D2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5A5B8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0E35F1B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2B" w14:paraId="46D8339F" w14:textId="77777777" w:rsidTr="00F40A75">
        <w:tc>
          <w:tcPr>
            <w:tcW w:w="1508" w:type="dxa"/>
          </w:tcPr>
          <w:p w14:paraId="244E2A33" w14:textId="77777777" w:rsidR="000113BC" w:rsidRDefault="00C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50" w:type="dxa"/>
          </w:tcPr>
          <w:p w14:paraId="65B5BBDE" w14:textId="77777777" w:rsidR="000113BC" w:rsidRDefault="00C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 course specific objectives, while aligned with the preceding general objectives or goals, will have to be formulated in such a way that </w:t>
            </w:r>
            <w:r w:rsidR="00521E58">
              <w:rPr>
                <w:rFonts w:ascii="Times New Roman" w:hAnsi="Times New Roman" w:cs="Times New Roman"/>
                <w:sz w:val="24"/>
                <w:szCs w:val="24"/>
              </w:rPr>
              <w:t>the outcomes may be measurable in terms of specified competen</w:t>
            </w:r>
            <w:r w:rsidR="00BB0386">
              <w:rPr>
                <w:rFonts w:ascii="Times New Roman" w:hAnsi="Times New Roman" w:cs="Times New Roman"/>
                <w:sz w:val="24"/>
                <w:szCs w:val="24"/>
              </w:rPr>
              <w:t xml:space="preserve">cies (knowledge and skills) and/or </w:t>
            </w:r>
            <w:r w:rsidR="00521E58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682239">
              <w:rPr>
                <w:rFonts w:ascii="Times New Roman" w:hAnsi="Times New Roman" w:cs="Times New Roman"/>
                <w:sz w:val="24"/>
                <w:szCs w:val="24"/>
              </w:rPr>
              <w:t>lues (orientation and attitude).  See also the following item.</w:t>
            </w:r>
          </w:p>
        </w:tc>
        <w:tc>
          <w:tcPr>
            <w:tcW w:w="720" w:type="dxa"/>
          </w:tcPr>
          <w:p w14:paraId="07F52F95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2F2B3D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9AA146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29B34D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5D065A5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239" w14:paraId="5408DD92" w14:textId="77777777" w:rsidTr="00F40A75">
        <w:tc>
          <w:tcPr>
            <w:tcW w:w="1508" w:type="dxa"/>
          </w:tcPr>
          <w:p w14:paraId="6F413BF1" w14:textId="77777777" w:rsidR="00682239" w:rsidRDefault="006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0" w:type="dxa"/>
          </w:tcPr>
          <w:p w14:paraId="34A57CF2" w14:textId="77777777" w:rsidR="00682239" w:rsidRDefault="006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Competencies:</w:t>
            </w:r>
          </w:p>
          <w:p w14:paraId="4BB71513" w14:textId="77777777" w:rsidR="00682239" w:rsidRPr="00682239" w:rsidRDefault="00682239" w:rsidP="006822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82239">
              <w:rPr>
                <w:rFonts w:ascii="Times New Roman" w:hAnsi="Times New Roman" w:cs="Times New Roman"/>
                <w:sz w:val="24"/>
                <w:szCs w:val="24"/>
              </w:rPr>
              <w:t>ommunication (oral, visual, written, digital, and performative);</w:t>
            </w:r>
          </w:p>
          <w:p w14:paraId="49B0467B" w14:textId="77777777" w:rsidR="00682239" w:rsidRDefault="00682239" w:rsidP="006822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2239">
              <w:rPr>
                <w:rFonts w:ascii="Times New Roman" w:hAnsi="Times New Roman" w:cs="Times New Roman"/>
                <w:sz w:val="24"/>
                <w:szCs w:val="24"/>
              </w:rPr>
              <w:t>ndependent, critical, integrative, creative thinking and skills;</w:t>
            </w:r>
          </w:p>
          <w:p w14:paraId="0A8CA897" w14:textId="77777777" w:rsidR="00682239" w:rsidRDefault="00682239" w:rsidP="006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Values:</w:t>
            </w:r>
          </w:p>
          <w:p w14:paraId="512C5C68" w14:textId="77777777" w:rsidR="00682239" w:rsidRPr="00682239" w:rsidRDefault="00682239" w:rsidP="006822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2239">
              <w:rPr>
                <w:rFonts w:ascii="Times New Roman" w:hAnsi="Times New Roman" w:cs="Times New Roman"/>
                <w:sz w:val="24"/>
                <w:szCs w:val="24"/>
              </w:rPr>
              <w:t>ntegrity, honor, and excellence;</w:t>
            </w:r>
          </w:p>
          <w:p w14:paraId="2DE1DA6C" w14:textId="77777777" w:rsidR="00682239" w:rsidRPr="00682239" w:rsidRDefault="00682239" w:rsidP="006822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82239">
              <w:rPr>
                <w:rFonts w:ascii="Times New Roman" w:hAnsi="Times New Roman" w:cs="Times New Roman"/>
                <w:sz w:val="24"/>
                <w:szCs w:val="24"/>
              </w:rPr>
              <w:t>ationalism balanced with internationalism;</w:t>
            </w:r>
          </w:p>
          <w:p w14:paraId="4C853681" w14:textId="77777777" w:rsidR="00682239" w:rsidRPr="00682239" w:rsidRDefault="00682239" w:rsidP="006822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82239">
              <w:rPr>
                <w:rFonts w:ascii="Times New Roman" w:hAnsi="Times New Roman" w:cs="Times New Roman"/>
                <w:sz w:val="24"/>
                <w:szCs w:val="24"/>
              </w:rPr>
              <w:t>ublic service;</w:t>
            </w:r>
          </w:p>
        </w:tc>
        <w:tc>
          <w:tcPr>
            <w:tcW w:w="720" w:type="dxa"/>
          </w:tcPr>
          <w:p w14:paraId="2D88C177" w14:textId="77777777" w:rsidR="00682239" w:rsidRDefault="0068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72BA75" w14:textId="77777777" w:rsidR="00682239" w:rsidRDefault="0068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681E9A" w14:textId="77777777" w:rsidR="00682239" w:rsidRDefault="0068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6ADCC6" w14:textId="77777777" w:rsidR="00682239" w:rsidRDefault="0068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5A4882C" w14:textId="77777777" w:rsidR="00682239" w:rsidRDefault="0068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2B" w14:paraId="36894015" w14:textId="77777777" w:rsidTr="00F40A75">
        <w:tc>
          <w:tcPr>
            <w:tcW w:w="1508" w:type="dxa"/>
          </w:tcPr>
          <w:p w14:paraId="7328FEDB" w14:textId="77777777" w:rsidR="000113BC" w:rsidRDefault="0068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0" w:type="dxa"/>
          </w:tcPr>
          <w:p w14:paraId="06C60914" w14:textId="77777777" w:rsidR="000113BC" w:rsidRDefault="0052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 of inquiry:</w:t>
            </w:r>
          </w:p>
          <w:p w14:paraId="7656FEEE" w14:textId="77777777" w:rsidR="00521E58" w:rsidRPr="00521E58" w:rsidRDefault="00521E58" w:rsidP="00521E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E58">
              <w:rPr>
                <w:rFonts w:ascii="Times New Roman" w:hAnsi="Times New Roman" w:cs="Times New Roman"/>
                <w:sz w:val="24"/>
                <w:szCs w:val="24"/>
              </w:rPr>
              <w:t>Quantitative and empirical forms;</w:t>
            </w:r>
          </w:p>
          <w:p w14:paraId="027EF949" w14:textId="77777777" w:rsidR="00521E58" w:rsidRPr="00521E58" w:rsidRDefault="00521E58" w:rsidP="00521E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E58">
              <w:rPr>
                <w:rFonts w:ascii="Times New Roman" w:hAnsi="Times New Roman" w:cs="Times New Roman"/>
                <w:sz w:val="24"/>
                <w:szCs w:val="24"/>
              </w:rPr>
              <w:t>Interpretive and aesthetic approaches;</w:t>
            </w:r>
          </w:p>
          <w:p w14:paraId="5C2E0CB5" w14:textId="77777777" w:rsidR="00521E58" w:rsidRPr="00521E58" w:rsidRDefault="00521E58" w:rsidP="00521E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E58">
              <w:rPr>
                <w:rFonts w:ascii="Times New Roman" w:hAnsi="Times New Roman" w:cs="Times New Roman"/>
                <w:sz w:val="24"/>
                <w:szCs w:val="24"/>
              </w:rPr>
              <w:t>Ethical reasoning.</w:t>
            </w:r>
          </w:p>
          <w:p w14:paraId="6DAA5585" w14:textId="77777777" w:rsidR="00521E58" w:rsidRDefault="0052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Any combination of the above may be used in each course; and in totality the GE program will have used all the above.</w:t>
            </w:r>
          </w:p>
        </w:tc>
        <w:tc>
          <w:tcPr>
            <w:tcW w:w="720" w:type="dxa"/>
          </w:tcPr>
          <w:p w14:paraId="3A9FB106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5707A0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CC53CC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B7AEAC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AB4D62C" w14:textId="77777777" w:rsidR="000113BC" w:rsidRDefault="0001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5" w14:paraId="102149DF" w14:textId="77777777" w:rsidTr="00F40A75">
        <w:tc>
          <w:tcPr>
            <w:tcW w:w="1508" w:type="dxa"/>
          </w:tcPr>
          <w:p w14:paraId="4A6C4743" w14:textId="77777777" w:rsidR="000438D5" w:rsidRDefault="0095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50" w:type="dxa"/>
          </w:tcPr>
          <w:p w14:paraId="36F6A2D1" w14:textId="77777777" w:rsidR="00827D69" w:rsidRDefault="0082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 In all the options (a) to (e) below, multi-, inter- and/or trans-disciplinary approaches are proposed.</w:t>
            </w:r>
          </w:p>
          <w:p w14:paraId="2ED0FEB9" w14:textId="77777777" w:rsidR="000438D5" w:rsidRDefault="00B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 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 xml:space="preserve">GE Domains: Keep AH, MST and SSP </w:t>
            </w:r>
            <w:r w:rsidR="00686501">
              <w:rPr>
                <w:rFonts w:ascii="Times New Roman" w:hAnsi="Times New Roman" w:cs="Times New Roman"/>
                <w:sz w:val="24"/>
                <w:szCs w:val="24"/>
              </w:rPr>
              <w:t>as “domain tags</w:t>
            </w:r>
            <w:r w:rsidR="009453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50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for administrative purposes only that relate to course management</w:t>
            </w:r>
            <w:r w:rsidR="009453F5">
              <w:rPr>
                <w:rFonts w:ascii="Times New Roman" w:hAnsi="Times New Roman" w:cs="Times New Roman"/>
                <w:sz w:val="24"/>
                <w:szCs w:val="24"/>
              </w:rPr>
              <w:t xml:space="preserve"> and without requiring equality of units associated with each “domain”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; OR see other related items.</w:t>
            </w:r>
          </w:p>
        </w:tc>
        <w:tc>
          <w:tcPr>
            <w:tcW w:w="720" w:type="dxa"/>
          </w:tcPr>
          <w:p w14:paraId="22C8CE09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C94E60C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4A055E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BCCB06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EC5AA40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5" w14:paraId="1057306F" w14:textId="77777777" w:rsidTr="00F40A75">
        <w:tc>
          <w:tcPr>
            <w:tcW w:w="1508" w:type="dxa"/>
          </w:tcPr>
          <w:p w14:paraId="681BA3B6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076463B3" w14:textId="77777777" w:rsidR="000438D5" w:rsidRDefault="00B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 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GE Domains: Adopt A&amp;L, S&amp;T, SS&amp;L, and M&amp;E (the academic clusters) as “domain</w:t>
            </w:r>
            <w:r w:rsidR="00686501">
              <w:rPr>
                <w:rFonts w:ascii="Times New Roman" w:hAnsi="Times New Roman" w:cs="Times New Roman"/>
                <w:sz w:val="24"/>
                <w:szCs w:val="24"/>
              </w:rPr>
              <w:t xml:space="preserve"> tag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53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4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for administrative purposes only that relate to course management</w:t>
            </w:r>
            <w:r w:rsidR="009453F5" w:rsidRPr="009453F5">
              <w:rPr>
                <w:rFonts w:ascii="Times New Roman" w:hAnsi="Times New Roman" w:cs="Times New Roman"/>
                <w:sz w:val="24"/>
                <w:szCs w:val="24"/>
              </w:rPr>
              <w:t xml:space="preserve"> and without requiring equality of units associated with each “domain”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>; OR see related items.</w:t>
            </w:r>
          </w:p>
        </w:tc>
        <w:tc>
          <w:tcPr>
            <w:tcW w:w="720" w:type="dxa"/>
          </w:tcPr>
          <w:p w14:paraId="315170B1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5D05A7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AE98DB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2AE472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88ACFEA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5" w14:paraId="2E22CC6D" w14:textId="77777777" w:rsidTr="00F40A75">
        <w:tc>
          <w:tcPr>
            <w:tcW w:w="1508" w:type="dxa"/>
          </w:tcPr>
          <w:p w14:paraId="7BE9BF6D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5161C623" w14:textId="77777777" w:rsidR="000438D5" w:rsidRDefault="00B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 </w:t>
            </w:r>
            <w:r w:rsidR="00950FFA">
              <w:rPr>
                <w:rFonts w:ascii="Times New Roman" w:hAnsi="Times New Roman" w:cs="Times New Roman"/>
                <w:sz w:val="24"/>
                <w:szCs w:val="24"/>
              </w:rPr>
              <w:t xml:space="preserve">GE Domains: </w:t>
            </w:r>
            <w:r w:rsidRPr="00BB0386">
              <w:rPr>
                <w:rFonts w:ascii="Times New Roman" w:hAnsi="Times New Roman" w:cs="Times New Roman"/>
                <w:sz w:val="24"/>
                <w:szCs w:val="24"/>
              </w:rPr>
              <w:t>Keep AH, MST and SSP as “domain tags”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 that a specific course may be associated with 2 or 3 of these domains</w:t>
            </w:r>
            <w:r w:rsidR="00945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3F5" w:rsidRPr="009453F5">
              <w:rPr>
                <w:rFonts w:ascii="Times New Roman" w:hAnsi="Times New Roman" w:cs="Times New Roman"/>
                <w:sz w:val="24"/>
                <w:szCs w:val="24"/>
              </w:rPr>
              <w:t>without requiring equality of units associated with each “domain”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OR see related items.</w:t>
            </w:r>
          </w:p>
        </w:tc>
        <w:tc>
          <w:tcPr>
            <w:tcW w:w="720" w:type="dxa"/>
          </w:tcPr>
          <w:p w14:paraId="2EFB0B33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E97F3D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C32D96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B8B905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E9ED373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5" w14:paraId="0EEDDEE0" w14:textId="77777777" w:rsidTr="00F40A75">
        <w:tc>
          <w:tcPr>
            <w:tcW w:w="1508" w:type="dxa"/>
          </w:tcPr>
          <w:p w14:paraId="08094FF0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684C5199" w14:textId="77777777" w:rsidR="000438D5" w:rsidRDefault="00BB0386" w:rsidP="00B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 </w:t>
            </w:r>
            <w:r w:rsidRPr="00BB0386">
              <w:rPr>
                <w:rFonts w:ascii="Times New Roman" w:hAnsi="Times New Roman" w:cs="Times New Roman"/>
                <w:sz w:val="24"/>
                <w:szCs w:val="24"/>
              </w:rPr>
              <w:t xml:space="preserve">GE Domains: Adopt A&amp;L, S&amp;T, SS&amp;L, and M&amp;E (the academic clusters) as </w:t>
            </w:r>
            <w:r w:rsidRPr="00BB0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“domain tags”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such that a specific course may be associated with 2 or more domains</w:t>
            </w:r>
            <w:r w:rsidR="00945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53F5" w:rsidRPr="009453F5">
              <w:rPr>
                <w:rFonts w:ascii="Times New Roman" w:hAnsi="Times New Roman" w:cs="Times New Roman"/>
                <w:sz w:val="24"/>
                <w:szCs w:val="24"/>
              </w:rPr>
              <w:t>without requiring equality of units associated with each “domain”</w:t>
            </w:r>
            <w:r w:rsidRPr="00BB0386">
              <w:rPr>
                <w:rFonts w:ascii="Times New Roman" w:hAnsi="Times New Roman" w:cs="Times New Roman"/>
                <w:sz w:val="24"/>
                <w:szCs w:val="24"/>
              </w:rPr>
              <w:t>; OR see related items.</w:t>
            </w:r>
          </w:p>
        </w:tc>
        <w:tc>
          <w:tcPr>
            <w:tcW w:w="720" w:type="dxa"/>
          </w:tcPr>
          <w:p w14:paraId="52E34940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7E00F3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F76F47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74BA27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C164F52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5" w14:paraId="139A5571" w14:textId="77777777" w:rsidTr="00F40A75">
        <w:tc>
          <w:tcPr>
            <w:tcW w:w="1508" w:type="dxa"/>
          </w:tcPr>
          <w:p w14:paraId="568BE1EF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4F676E42" w14:textId="77777777" w:rsidR="009453F5" w:rsidRDefault="00B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 GE Domains: Integrated (</w:t>
            </w:r>
            <w:r w:rsidR="009453F5">
              <w:rPr>
                <w:rFonts w:ascii="Times New Roman" w:hAnsi="Times New Roman" w:cs="Times New Roman"/>
                <w:sz w:val="24"/>
                <w:szCs w:val="24"/>
              </w:rPr>
              <w:t xml:space="preserve">courses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cannot and will not be labeled by the “domain tags” in the items above</w:t>
            </w:r>
            <w:r w:rsidR="00945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4DFDAB0C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97D9BB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88A3C4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FF5EF6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2EAC527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8D5" w14:paraId="504D237E" w14:textId="77777777" w:rsidTr="00F40A75">
        <w:tc>
          <w:tcPr>
            <w:tcW w:w="1508" w:type="dxa"/>
          </w:tcPr>
          <w:p w14:paraId="22CC9596" w14:textId="77777777" w:rsidR="000438D5" w:rsidRDefault="00BB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0" w:type="dxa"/>
          </w:tcPr>
          <w:p w14:paraId="1D93648D" w14:textId="77777777" w:rsidR="000438D5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GE units to be required, in addition to the 3 units of (revised) Rizal Course (compared with current 45 units)</w:t>
            </w:r>
            <w:r w:rsidR="00B550F6">
              <w:rPr>
                <w:rFonts w:ascii="Times New Roman" w:hAnsi="Times New Roman" w:cs="Times New Roman"/>
                <w:sz w:val="24"/>
                <w:szCs w:val="24"/>
              </w:rPr>
              <w:t>.  In case less than 45 units, the balance may be devoted by the program either to additional major courses, new minor courses, or additional elective GE courses.</w:t>
            </w:r>
          </w:p>
          <w:p w14:paraId="3A852C85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B550F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units, OR</w:t>
            </w:r>
          </w:p>
        </w:tc>
        <w:tc>
          <w:tcPr>
            <w:tcW w:w="720" w:type="dxa"/>
          </w:tcPr>
          <w:p w14:paraId="2209C61B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01C0D7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4FD971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5575BB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D924AD1" w14:textId="77777777" w:rsidR="000438D5" w:rsidRDefault="0004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59" w14:paraId="1080FDEF" w14:textId="77777777" w:rsidTr="00F40A75">
        <w:tc>
          <w:tcPr>
            <w:tcW w:w="1508" w:type="dxa"/>
          </w:tcPr>
          <w:p w14:paraId="3A57845F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4A7E040E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 less than 45 units, OR</w:t>
            </w:r>
          </w:p>
        </w:tc>
        <w:tc>
          <w:tcPr>
            <w:tcW w:w="720" w:type="dxa"/>
          </w:tcPr>
          <w:p w14:paraId="5F6E7B3B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7A60B9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DD6E53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DE4D2D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543AE43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59" w14:paraId="76C90B76" w14:textId="77777777" w:rsidTr="00F40A75">
        <w:tc>
          <w:tcPr>
            <w:tcW w:w="1508" w:type="dxa"/>
          </w:tcPr>
          <w:p w14:paraId="3F9A7924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24262037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 36-45 units, OR</w:t>
            </w:r>
          </w:p>
        </w:tc>
        <w:tc>
          <w:tcPr>
            <w:tcW w:w="720" w:type="dxa"/>
          </w:tcPr>
          <w:p w14:paraId="65AE920E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260623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C671DD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0AFC95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688BD09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59" w14:paraId="714C8F56" w14:textId="77777777" w:rsidTr="00F40A75">
        <w:tc>
          <w:tcPr>
            <w:tcW w:w="1508" w:type="dxa"/>
          </w:tcPr>
          <w:p w14:paraId="19C99E30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66C655B3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 36 units, OR</w:t>
            </w:r>
          </w:p>
        </w:tc>
        <w:tc>
          <w:tcPr>
            <w:tcW w:w="720" w:type="dxa"/>
          </w:tcPr>
          <w:p w14:paraId="61D2B20E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05B0DB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5E9F5E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14C2DF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084CA2B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59" w14:paraId="45063FA5" w14:textId="77777777" w:rsidTr="00F40A75">
        <w:tc>
          <w:tcPr>
            <w:tcW w:w="1508" w:type="dxa"/>
          </w:tcPr>
          <w:p w14:paraId="2123CD88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75909479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 </w:t>
            </w:r>
            <w:r w:rsidR="00F364AF">
              <w:rPr>
                <w:rFonts w:ascii="Times New Roman" w:hAnsi="Times New Roman" w:cs="Times New Roman"/>
                <w:sz w:val="24"/>
                <w:szCs w:val="24"/>
              </w:rPr>
              <w:t>24-45 units, OR</w:t>
            </w:r>
          </w:p>
        </w:tc>
        <w:tc>
          <w:tcPr>
            <w:tcW w:w="720" w:type="dxa"/>
          </w:tcPr>
          <w:p w14:paraId="469CDD65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E633DA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5FE299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84EE75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7BCE768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59" w14:paraId="3323C334" w14:textId="77777777" w:rsidTr="00F40A75">
        <w:tc>
          <w:tcPr>
            <w:tcW w:w="1508" w:type="dxa"/>
          </w:tcPr>
          <w:p w14:paraId="1BC485FE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5D552E13" w14:textId="77777777" w:rsidR="00587259" w:rsidRDefault="00F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 24-30 units, OR</w:t>
            </w:r>
          </w:p>
        </w:tc>
        <w:tc>
          <w:tcPr>
            <w:tcW w:w="720" w:type="dxa"/>
          </w:tcPr>
          <w:p w14:paraId="27D56FB6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2B66AB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0E87E3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7FDA2B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1E18122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59" w14:paraId="53C6CD3C" w14:textId="77777777" w:rsidTr="00F40A75">
        <w:tc>
          <w:tcPr>
            <w:tcW w:w="1508" w:type="dxa"/>
          </w:tcPr>
          <w:p w14:paraId="7E047129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0" w:type="dxa"/>
          </w:tcPr>
          <w:p w14:paraId="0B7638D8" w14:textId="77777777" w:rsidR="00587259" w:rsidRDefault="00F3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 21 units of 7 specified courses including a (new proposed) course on Athletics+Academics=Athlemics to mainstream the unity of mind and body</w:t>
            </w:r>
          </w:p>
        </w:tc>
        <w:tc>
          <w:tcPr>
            <w:tcW w:w="720" w:type="dxa"/>
          </w:tcPr>
          <w:p w14:paraId="516F6F30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097189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555A3A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734B86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7250F40" w14:textId="77777777" w:rsidR="00587259" w:rsidRDefault="0058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8E" w14:paraId="31B4418F" w14:textId="77777777" w:rsidTr="00F40A75">
        <w:tc>
          <w:tcPr>
            <w:tcW w:w="1508" w:type="dxa"/>
          </w:tcPr>
          <w:p w14:paraId="0CBC5F7A" w14:textId="77777777" w:rsidR="0027438E" w:rsidRDefault="0027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0" w:type="dxa"/>
          </w:tcPr>
          <w:p w14:paraId="31A77548" w14:textId="77777777" w:rsidR="0027438E" w:rsidRDefault="0027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all of the above, 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 xml:space="preserve">and also in the items below,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when a “course” is referred to, it may be treated as a preferred prototype of a “category”, hence open to equivalent(s) either in the transition period of (several) years, or at any time that such equivalent(s) may be proposed and approved.</w:t>
            </w:r>
          </w:p>
        </w:tc>
        <w:tc>
          <w:tcPr>
            <w:tcW w:w="720" w:type="dxa"/>
          </w:tcPr>
          <w:p w14:paraId="004B1A36" w14:textId="77777777" w:rsidR="0027438E" w:rsidRDefault="0027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392EEE" w14:textId="77777777" w:rsidR="0027438E" w:rsidRDefault="0027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CA4BD6" w14:textId="77777777" w:rsidR="0027438E" w:rsidRDefault="0027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CC1DC5" w14:textId="77777777" w:rsidR="0027438E" w:rsidRDefault="0027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89EDDEA" w14:textId="77777777" w:rsidR="0027438E" w:rsidRDefault="00274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73F7BCE6" w14:textId="77777777" w:rsidTr="00F40A75">
        <w:tc>
          <w:tcPr>
            <w:tcW w:w="1508" w:type="dxa"/>
          </w:tcPr>
          <w:p w14:paraId="6B43E5D6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0" w:type="dxa"/>
          </w:tcPr>
          <w:p w14:paraId="26D5293F" w14:textId="46D7ACB4" w:rsidR="003818CC" w:rsidRDefault="0044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Wika</w:t>
            </w:r>
            <w:r w:rsidR="00D8440F">
              <w:rPr>
                <w:rFonts w:ascii="Times New Roman" w:hAnsi="Times New Roman" w:cs="Times New Roman"/>
                <w:sz w:val="24"/>
                <w:szCs w:val="24"/>
              </w:rPr>
              <w:t>ng Filipino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>, Kultura at Lipunan (3u, required)</w:t>
            </w:r>
          </w:p>
        </w:tc>
        <w:tc>
          <w:tcPr>
            <w:tcW w:w="720" w:type="dxa"/>
          </w:tcPr>
          <w:p w14:paraId="5A9C1BF2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E8E663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DB24C7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1EC4B4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F6D0222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49039A98" w14:textId="77777777" w:rsidTr="00F40A75">
        <w:tc>
          <w:tcPr>
            <w:tcW w:w="1508" w:type="dxa"/>
          </w:tcPr>
          <w:p w14:paraId="0216A8A3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0" w:type="dxa"/>
          </w:tcPr>
          <w:p w14:paraId="3A502A0A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Ethics and Moral Reasoning in Everyday Life (3u, required)</w:t>
            </w:r>
          </w:p>
        </w:tc>
        <w:tc>
          <w:tcPr>
            <w:tcW w:w="720" w:type="dxa"/>
          </w:tcPr>
          <w:p w14:paraId="30699DA6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D1B5E1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3B6B01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84DF47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C767F6F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0BAD2C94" w14:textId="77777777" w:rsidTr="00F40A75">
        <w:tc>
          <w:tcPr>
            <w:tcW w:w="1508" w:type="dxa"/>
          </w:tcPr>
          <w:p w14:paraId="2A4E87D2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0" w:type="dxa"/>
          </w:tcPr>
          <w:p w14:paraId="21BD4B86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Living Systems: Concepts and Dynamics (3u, required) </w:t>
            </w:r>
          </w:p>
        </w:tc>
        <w:tc>
          <w:tcPr>
            <w:tcW w:w="720" w:type="dxa"/>
          </w:tcPr>
          <w:p w14:paraId="76070B0C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3FD47B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C735BF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65A9AB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E2AD153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18E19B83" w14:textId="77777777" w:rsidTr="00F40A75">
        <w:tc>
          <w:tcPr>
            <w:tcW w:w="1508" w:type="dxa"/>
          </w:tcPr>
          <w:p w14:paraId="0D93F1ED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0" w:type="dxa"/>
          </w:tcPr>
          <w:p w14:paraId="7FB4C17F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Philippine Arts and Culture (3u, required)</w:t>
            </w:r>
          </w:p>
        </w:tc>
        <w:tc>
          <w:tcPr>
            <w:tcW w:w="720" w:type="dxa"/>
          </w:tcPr>
          <w:p w14:paraId="54703260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4975D9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3AF207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63DB79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1E77E36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79943F9C" w14:textId="77777777" w:rsidTr="00F40A75">
        <w:tc>
          <w:tcPr>
            <w:tcW w:w="1508" w:type="dxa"/>
          </w:tcPr>
          <w:p w14:paraId="2217A56B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50" w:type="dxa"/>
          </w:tcPr>
          <w:p w14:paraId="0031AF86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Critical Perspectives in the Arts (3u, required) </w:t>
            </w:r>
          </w:p>
        </w:tc>
        <w:tc>
          <w:tcPr>
            <w:tcW w:w="720" w:type="dxa"/>
          </w:tcPr>
          <w:p w14:paraId="0D275D42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315B96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934A99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A19438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CBFEA81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1334A78E" w14:textId="77777777" w:rsidTr="00F40A75">
        <w:tc>
          <w:tcPr>
            <w:tcW w:w="1508" w:type="dxa"/>
          </w:tcPr>
          <w:p w14:paraId="47594154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50" w:type="dxa"/>
          </w:tcPr>
          <w:p w14:paraId="462BFE85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Probing the Physical World (3u)</w:t>
            </w:r>
          </w:p>
        </w:tc>
        <w:tc>
          <w:tcPr>
            <w:tcW w:w="720" w:type="dxa"/>
          </w:tcPr>
          <w:p w14:paraId="20D00757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B651F8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738E3B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243FEE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DB566C6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3913E5F2" w14:textId="77777777" w:rsidTr="00F40A75">
        <w:tc>
          <w:tcPr>
            <w:tcW w:w="1508" w:type="dxa"/>
          </w:tcPr>
          <w:p w14:paraId="660C9C18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50" w:type="dxa"/>
          </w:tcPr>
          <w:p w14:paraId="0CCD36B0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Science, Technology and Society (3u)</w:t>
            </w:r>
          </w:p>
        </w:tc>
        <w:tc>
          <w:tcPr>
            <w:tcW w:w="720" w:type="dxa"/>
          </w:tcPr>
          <w:p w14:paraId="37B7BBFB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B34EF2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E86DAF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C4AF42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E846B43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624D4FAE" w14:textId="77777777" w:rsidTr="00F40A75">
        <w:tc>
          <w:tcPr>
            <w:tcW w:w="1508" w:type="dxa"/>
          </w:tcPr>
          <w:p w14:paraId="4B695173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50" w:type="dxa"/>
          </w:tcPr>
          <w:p w14:paraId="22668F22" w14:textId="653DDCB1" w:rsidR="003818CC" w:rsidRDefault="007B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Kasaysayan ng Pilipinas</w:t>
            </w:r>
            <w:r w:rsidR="003818CC">
              <w:rPr>
                <w:rFonts w:ascii="Times New Roman" w:hAnsi="Times New Roman" w:cs="Times New Roman"/>
                <w:sz w:val="24"/>
                <w:szCs w:val="24"/>
              </w:rPr>
              <w:t xml:space="preserve"> (3u)</w:t>
            </w:r>
          </w:p>
        </w:tc>
        <w:tc>
          <w:tcPr>
            <w:tcW w:w="720" w:type="dxa"/>
          </w:tcPr>
          <w:p w14:paraId="538DC379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90D4AC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3B8A8C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3F0250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E489A1F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2EEC7AE3" w14:textId="77777777" w:rsidTr="00F40A75">
        <w:tc>
          <w:tcPr>
            <w:tcW w:w="1508" w:type="dxa"/>
          </w:tcPr>
          <w:p w14:paraId="4AF6BDCC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50" w:type="dxa"/>
          </w:tcPr>
          <w:p w14:paraId="76DC110D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and Society (3u)</w:t>
            </w:r>
          </w:p>
        </w:tc>
        <w:tc>
          <w:tcPr>
            <w:tcW w:w="720" w:type="dxa"/>
          </w:tcPr>
          <w:p w14:paraId="738706AC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17E481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A5F19F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33228D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6C14122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7653E707" w14:textId="77777777" w:rsidTr="00F40A75">
        <w:tc>
          <w:tcPr>
            <w:tcW w:w="1508" w:type="dxa"/>
          </w:tcPr>
          <w:p w14:paraId="41331F85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50" w:type="dxa"/>
          </w:tcPr>
          <w:p w14:paraId="614D0EFA" w14:textId="62144298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FB60B6">
              <w:rPr>
                <w:rFonts w:ascii="Times New Roman" w:hAnsi="Times New Roman" w:cs="Times New Roman"/>
                <w:sz w:val="24"/>
                <w:szCs w:val="24"/>
              </w:rPr>
              <w:t>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Culture and Society (3u)</w:t>
            </w:r>
          </w:p>
        </w:tc>
        <w:tc>
          <w:tcPr>
            <w:tcW w:w="720" w:type="dxa"/>
          </w:tcPr>
          <w:p w14:paraId="6444689B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6DEFB5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91ADB9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C26A2D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F6FFD44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45220EE9" w14:textId="77777777" w:rsidTr="00F40A75">
        <w:tc>
          <w:tcPr>
            <w:tcW w:w="1508" w:type="dxa"/>
          </w:tcPr>
          <w:p w14:paraId="0BD2E2C5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50" w:type="dxa"/>
          </w:tcPr>
          <w:p w14:paraId="34525059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Perspectives in Communication (3u)</w:t>
            </w:r>
          </w:p>
        </w:tc>
        <w:tc>
          <w:tcPr>
            <w:tcW w:w="720" w:type="dxa"/>
          </w:tcPr>
          <w:p w14:paraId="54E12353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14FB72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FF2B84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353E64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0A7818E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C" w14:paraId="2DD23A80" w14:textId="77777777" w:rsidTr="00F40A75">
        <w:tc>
          <w:tcPr>
            <w:tcW w:w="1508" w:type="dxa"/>
          </w:tcPr>
          <w:p w14:paraId="46A2D0D1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50" w:type="dxa"/>
          </w:tcPr>
          <w:p w14:paraId="6F31C966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Athlemics: Unity of Mind and Body (3u, required?)</w:t>
            </w:r>
          </w:p>
        </w:tc>
        <w:tc>
          <w:tcPr>
            <w:tcW w:w="720" w:type="dxa"/>
          </w:tcPr>
          <w:p w14:paraId="64084856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CBF5DE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A40B55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5392DF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0364A6E" w14:textId="77777777" w:rsidR="003818CC" w:rsidRDefault="00381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B007C" w14:textId="77777777" w:rsidR="000113BC" w:rsidRPr="00C53798" w:rsidRDefault="000113BC">
      <w:pPr>
        <w:rPr>
          <w:rFonts w:ascii="Times New Roman" w:hAnsi="Times New Roman" w:cs="Times New Roman"/>
          <w:sz w:val="24"/>
          <w:szCs w:val="24"/>
        </w:rPr>
      </w:pPr>
    </w:p>
    <w:sectPr w:rsidR="000113BC" w:rsidRPr="00C53798" w:rsidSect="000465A3">
      <w:pgSz w:w="16838" w:h="11906" w:orient="landscape" w:code="9"/>
      <w:pgMar w:top="720" w:right="1135" w:bottom="720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8F"/>
    <w:multiLevelType w:val="hybridMultilevel"/>
    <w:tmpl w:val="D1AA1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28BD"/>
    <w:multiLevelType w:val="hybridMultilevel"/>
    <w:tmpl w:val="03FEA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73D4"/>
    <w:multiLevelType w:val="hybridMultilevel"/>
    <w:tmpl w:val="B38A6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0298D"/>
    <w:multiLevelType w:val="hybridMultilevel"/>
    <w:tmpl w:val="7B8C2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62ADE"/>
    <w:multiLevelType w:val="hybridMultilevel"/>
    <w:tmpl w:val="5F826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83"/>
    <w:rsid w:val="000113BC"/>
    <w:rsid w:val="000438D5"/>
    <w:rsid w:val="000465A3"/>
    <w:rsid w:val="00121AD0"/>
    <w:rsid w:val="0012542B"/>
    <w:rsid w:val="00157FBF"/>
    <w:rsid w:val="00164B04"/>
    <w:rsid w:val="0018401A"/>
    <w:rsid w:val="00190ED8"/>
    <w:rsid w:val="001E378C"/>
    <w:rsid w:val="0027438E"/>
    <w:rsid w:val="00276521"/>
    <w:rsid w:val="003107C4"/>
    <w:rsid w:val="003818CC"/>
    <w:rsid w:val="003B51E6"/>
    <w:rsid w:val="003F3C30"/>
    <w:rsid w:val="004474ED"/>
    <w:rsid w:val="00493158"/>
    <w:rsid w:val="004E6527"/>
    <w:rsid w:val="00521E58"/>
    <w:rsid w:val="00543CC6"/>
    <w:rsid w:val="00587259"/>
    <w:rsid w:val="005C14E4"/>
    <w:rsid w:val="00682239"/>
    <w:rsid w:val="00686501"/>
    <w:rsid w:val="006A3040"/>
    <w:rsid w:val="006A4940"/>
    <w:rsid w:val="006B4EE5"/>
    <w:rsid w:val="006D7524"/>
    <w:rsid w:val="007039F9"/>
    <w:rsid w:val="007B773F"/>
    <w:rsid w:val="007E1269"/>
    <w:rsid w:val="00827D69"/>
    <w:rsid w:val="00872D77"/>
    <w:rsid w:val="00893790"/>
    <w:rsid w:val="008C0284"/>
    <w:rsid w:val="00942480"/>
    <w:rsid w:val="009453F5"/>
    <w:rsid w:val="00950FFA"/>
    <w:rsid w:val="009C470D"/>
    <w:rsid w:val="00B3776A"/>
    <w:rsid w:val="00B40B93"/>
    <w:rsid w:val="00B429A7"/>
    <w:rsid w:val="00B550F6"/>
    <w:rsid w:val="00B73FD9"/>
    <w:rsid w:val="00BB0386"/>
    <w:rsid w:val="00BF3867"/>
    <w:rsid w:val="00BF7683"/>
    <w:rsid w:val="00C21338"/>
    <w:rsid w:val="00C47328"/>
    <w:rsid w:val="00C53798"/>
    <w:rsid w:val="00C84F5C"/>
    <w:rsid w:val="00C8708E"/>
    <w:rsid w:val="00D8440F"/>
    <w:rsid w:val="00E74A1A"/>
    <w:rsid w:val="00F364AF"/>
    <w:rsid w:val="00F40A75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2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9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5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E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9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5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0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issuu.com/odi-ovcaa/docs/ge_conference_proceedings" TargetMode="External"/><Relationship Id="rId8" Type="http://schemas.openxmlformats.org/officeDocument/2006/relationships/hyperlink" Target="http://issuu.com/odi-ovcaa/docs/upd_ge_conference_annexes" TargetMode="External"/><Relationship Id="rId9" Type="http://schemas.openxmlformats.org/officeDocument/2006/relationships/hyperlink" Target="http://share.snacktools.com/FEAF5E7D75E/b7xu3zd4" TargetMode="External"/><Relationship Id="rId10" Type="http://schemas.openxmlformats.org/officeDocument/2006/relationships/hyperlink" Target="mailto:jessica@ovcaa.upd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F9B9C-0349-C449-989A-3D19C178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VCRDPacheco</dc:creator>
  <cp:lastModifiedBy>J Cruz</cp:lastModifiedBy>
  <cp:revision>4</cp:revision>
  <cp:lastPrinted>2015-01-21T01:47:00Z</cp:lastPrinted>
  <dcterms:created xsi:type="dcterms:W3CDTF">2015-01-21T01:48:00Z</dcterms:created>
  <dcterms:modified xsi:type="dcterms:W3CDTF">2015-01-21T02:08:00Z</dcterms:modified>
</cp:coreProperties>
</file>